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23317200</wp:posOffset>
                </wp:positionH>
                <wp:positionV relativeFrom="paragraph">
                  <wp:posOffset>23329900</wp:posOffset>
                </wp:positionV>
                <wp:extent cx="6858000" cy="964565"/>
                <wp:effectExtent b="0" l="0" r="0" t="0"/>
                <wp:wrapNone/>
                <wp:docPr id="3" name=""/>
                <a:graphic>
                  <a:graphicData uri="http://schemas.microsoft.com/office/word/2010/wordprocessingGroup">
                    <wpg:wgp>
                      <wpg:cNvGrpSpPr/>
                      <wpg:grpSpPr>
                        <a:xfrm>
                          <a:off x="1904275" y="3285000"/>
                          <a:ext cx="6858000" cy="964565"/>
                          <a:chOff x="1904275" y="3285000"/>
                          <a:chExt cx="6883450" cy="977300"/>
                        </a:xfrm>
                      </wpg:grpSpPr>
                      <wpg:grpSp>
                        <wpg:cNvGrpSpPr/>
                        <wpg:grpSpPr>
                          <a:xfrm>
                            <a:off x="1917000" y="3297718"/>
                            <a:ext cx="6858000" cy="964565"/>
                            <a:chOff x="19431000" y="18301063"/>
                            <a:chExt cx="6858000" cy="964651"/>
                          </a:xfrm>
                        </wpg:grpSpPr>
                        <wps:wsp>
                          <wps:cNvSpPr/>
                          <wps:cNvPr id="3" name="Shape 3"/>
                          <wps:spPr>
                            <a:xfrm>
                              <a:off x="19431000" y="18301063"/>
                              <a:ext cx="6858000" cy="9646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9" name="Shape 9"/>
                          <wps:spPr>
                            <a:xfrm>
                              <a:off x="21462272" y="18795451"/>
                              <a:ext cx="1943102" cy="339634"/>
                            </a:xfrm>
                            <a:prstGeom prst="rect">
                              <a:avLst/>
                            </a:prstGeom>
                            <a:solidFill>
                              <a:srgbClr val="FFFFFF"/>
                            </a:solidFill>
                            <a:ln>
                              <a:noFill/>
                            </a:ln>
                          </wps:spPr>
                          <wps:txbx>
                            <w:txbxContent>
                              <w:p w:rsidR="00000000" w:rsidDel="00000000" w:rsidP="00000000" w:rsidRDefault="00000000" w:rsidRPr="00000000">
                                <w:pPr>
                                  <w:spacing w:after="0" w:before="0" w:line="240"/>
                                  <w:ind w:left="0" w:right="0" w:firstLine="0"/>
                                  <w:jc w:val="left"/>
                                  <w:textDirection w:val="btLr"/>
                                </w:pP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000000"/>
                                    <w:sz w:val="16"/>
                                    <w:vertAlign w:val="baseline"/>
                                  </w:rPr>
                                </w:r>
                                <w:r w:rsidDel="00000000" w:rsidR="00000000" w:rsidRPr="00000000">
                                  <w:rPr>
                                    <w:rFonts w:ascii="Gill Sans" w:cs="Gill Sans" w:eastAsia="Gill Sans" w:hAnsi="Gill Sans"/>
                                    <w:b w:val="0"/>
                                    <w:i w:val="0"/>
                                    <w:smallCaps w:val="0"/>
                                    <w:strike w:val="0"/>
                                    <w:color w:val="000000"/>
                                    <w:sz w:val="18"/>
                                    <w:vertAlign w:val="baseline"/>
                                  </w:rPr>
                                  <w:t xml:space="preserve">233 Cascade Street, Wolf Point, MT 59201</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000000"/>
                                    <w:sz w:val="18"/>
                                    <w:vertAlign w:val="baseline"/>
                                  </w:rPr>
                                </w:r>
                              </w:p>
                            </w:txbxContent>
                          </wps:txbx>
                          <wps:bodyPr anchorCtr="0" anchor="t" bIns="36175" lIns="36175" spcFirstLastPara="1" rIns="36175" wrap="square" tIns="36175">
                            <a:noAutofit/>
                          </wps:bodyPr>
                        </wps:wsp>
                        <wpg:grpSp>
                          <wpg:cNvGrpSpPr/>
                          <wpg:grpSpPr>
                            <a:xfrm>
                              <a:off x="19431000" y="18301063"/>
                              <a:ext cx="6858000" cy="535782"/>
                              <a:chOff x="19431000" y="18288000"/>
                              <a:chExt cx="6858000" cy="535782"/>
                            </a:xfrm>
                          </wpg:grpSpPr>
                          <wps:wsp>
                            <wps:cNvSpPr/>
                            <wps:cNvPr id="11" name="Shape 11"/>
                            <wps:spPr>
                              <a:xfrm>
                                <a:off x="19431000" y="18288000"/>
                                <a:ext cx="6858000" cy="535782"/>
                              </a:xfrm>
                              <a:prstGeom prst="rect">
                                <a:avLst/>
                              </a:prstGeom>
                              <a:noFill/>
                              <a:ln cap="flat" cmpd="sng" w="25400">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CnPr/>
                            <wps:spPr>
                              <a:xfrm>
                                <a:off x="19950113" y="18288000"/>
                                <a:ext cx="0" cy="535782"/>
                              </a:xfrm>
                              <a:prstGeom prst="straightConnector1">
                                <a:avLst/>
                              </a:prstGeom>
                              <a:noFill/>
                              <a:ln cap="flat" cmpd="sng" w="25400">
                                <a:solidFill>
                                  <a:srgbClr val="000000"/>
                                </a:solidFill>
                                <a:prstDash val="solid"/>
                                <a:round/>
                                <a:headEnd len="med" w="med" type="none"/>
                                <a:tailEnd len="med" w="med" type="none"/>
                              </a:ln>
                            </wps:spPr>
                            <wps:bodyPr anchorCtr="0" anchor="ctr" bIns="91425" lIns="91425" spcFirstLastPara="1" rIns="91425" wrap="square" tIns="91425">
                              <a:noAutofit/>
                            </wps:bodyPr>
                          </wps:wsp>
                        </wpg:grpSp>
                        <wps:wsp>
                          <wps:cNvSpPr/>
                          <wps:cNvPr id="13" name="Shape 13"/>
                          <wps:spPr>
                            <a:xfrm>
                              <a:off x="23797260" y="18860767"/>
                              <a:ext cx="2348047" cy="404947"/>
                            </a:xfrm>
                            <a:prstGeom prst="rect">
                              <a:avLst/>
                            </a:prstGeom>
                            <a:solidFill>
                              <a:srgbClr val="FFFFFF"/>
                            </a:solid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000000"/>
                                    <w:sz w:val="18"/>
                                    <w:vertAlign w:val="baseline"/>
                                  </w:rPr>
                                  <w:t xml:space="preserve">Phone: 406-653-2590, Fax: 406-653-1840</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000000"/>
                                    <w:sz w:val="18"/>
                                    <w:vertAlign w:val="baseline"/>
                                  </w:rPr>
                                </w:r>
                                <w:r w:rsidDel="00000000" w:rsidR="00000000" w:rsidRPr="00000000">
                                  <w:rPr>
                                    <w:rFonts w:ascii="Gill Sans" w:cs="Gill Sans" w:eastAsia="Gill Sans" w:hAnsi="Gill Sans"/>
                                    <w:b w:val="0"/>
                                    <w:i w:val="0"/>
                                    <w:smallCaps w:val="0"/>
                                    <w:strike w:val="0"/>
                                    <w:color w:val="000000"/>
                                    <w:sz w:val="18"/>
                                    <w:vertAlign w:val="baseline"/>
                                  </w:rPr>
                                  <w:t xml:space="preserve">Email: audrey@gndc.org</w:t>
                                </w:r>
                              </w:p>
                            </w:txbxContent>
                          </wps:txbx>
                          <wps:bodyPr anchorCtr="0" anchor="t" bIns="36175" lIns="36175" spcFirstLastPara="1" rIns="36175" wrap="square" tIns="36175">
                            <a:noAutofit/>
                          </wps:bodyPr>
                        </wps:wsp>
                        <wps:wsp>
                          <wps:cNvSpPr/>
                          <wps:cNvPr id="14" name="Shape 14"/>
                          <wps:spPr>
                            <a:xfrm>
                              <a:off x="20007263" y="18377774"/>
                              <a:ext cx="6190297" cy="356235"/>
                            </a:xfrm>
                            <a:prstGeom prst="rect">
                              <a:avLst/>
                            </a:prstGeom>
                            <a:solidFill>
                              <a:srgbClr val="FFFFFF"/>
                            </a:solid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1"/>
                                    <w:i w:val="0"/>
                                    <w:smallCaps w:val="0"/>
                                    <w:strike w:val="0"/>
                                    <w:color w:val="000000"/>
                                    <w:sz w:val="34"/>
                                    <w:vertAlign w:val="baseline"/>
                                  </w:rPr>
                                  <w:t xml:space="preserve">         Great Northern Development Corporation</w:t>
                                </w:r>
                              </w:p>
                            </w:txbxContent>
                          </wps:txbx>
                          <wps:bodyPr anchorCtr="0" anchor="t" bIns="36175" lIns="36175" spcFirstLastPara="1" rIns="36175" wrap="square" tIns="36175">
                            <a:noAutofit/>
                          </wps:bodyPr>
                        </wps:wsp>
                        <pic:pic>
                          <pic:nvPicPr>
                            <pic:cNvPr id="15" name="Shape 15"/>
                            <pic:cNvPicPr preferRelativeResize="0"/>
                          </pic:nvPicPr>
                          <pic:blipFill rotWithShape="1">
                            <a:blip r:embed="rId6">
                              <a:alphaModFix/>
                            </a:blip>
                            <a:srcRect b="0" l="0" r="0" t="0"/>
                            <a:stretch/>
                          </pic:blipFill>
                          <pic:spPr>
                            <a:xfrm>
                              <a:off x="19506113" y="18335383"/>
                              <a:ext cx="1534885" cy="886252"/>
                            </a:xfrm>
                            <a:prstGeom prst="rect">
                              <a:avLst/>
                            </a:prstGeom>
                            <a:noFill/>
                            <a:ln>
                              <a:noFill/>
                            </a:ln>
                          </pic:spPr>
                        </pic:pic>
                      </wpg:grpSp>
                    </wpg:wgp>
                  </a:graphicData>
                </a:graphic>
              </wp:anchor>
            </w:drawing>
          </mc:Choice>
          <mc:Fallback>
            <w:drawing>
              <wp:anchor allowOverlap="1" behindDoc="0" distB="0" distT="0" distL="114300" distR="114300" hidden="0" layoutInCell="1" locked="0" relativeHeight="0" simplePos="0">
                <wp:simplePos x="0" y="0"/>
                <wp:positionH relativeFrom="column">
                  <wp:posOffset>23317200</wp:posOffset>
                </wp:positionH>
                <wp:positionV relativeFrom="paragraph">
                  <wp:posOffset>23329900</wp:posOffset>
                </wp:positionV>
                <wp:extent cx="6858000" cy="964565"/>
                <wp:effectExtent b="0" l="0" r="0" t="0"/>
                <wp:wrapNone/>
                <wp:docPr id="3" name="image5.png"/>
                <a:graphic>
                  <a:graphicData uri="http://schemas.openxmlformats.org/drawingml/2006/picture">
                    <pic:pic>
                      <pic:nvPicPr>
                        <pic:cNvPr id="0" name="image5.png"/>
                        <pic:cNvPicPr preferRelativeResize="0"/>
                      </pic:nvPicPr>
                      <pic:blipFill>
                        <a:blip r:embed="rId7"/>
                        <a:srcRect/>
                        <a:stretch>
                          <a:fillRect/>
                        </a:stretch>
                      </pic:blipFill>
                      <pic:spPr>
                        <a:xfrm>
                          <a:off x="0" y="0"/>
                          <a:ext cx="6858000" cy="96456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584200</wp:posOffset>
                </wp:positionH>
                <wp:positionV relativeFrom="paragraph">
                  <wp:posOffset>444500</wp:posOffset>
                </wp:positionV>
                <wp:extent cx="1544320" cy="973455"/>
                <wp:effectExtent b="0" l="0" r="0" t="0"/>
                <wp:wrapNone/>
                <wp:docPr id="4" name=""/>
                <a:graphic>
                  <a:graphicData uri="http://schemas.microsoft.com/office/word/2010/wordprocessingShape">
                    <wps:wsp>
                      <wps:cNvSpPr/>
                      <wps:cNvPr id="16" name="Shape 16"/>
                      <wps:spPr>
                        <a:xfrm>
                          <a:off x="4578603" y="3298035"/>
                          <a:ext cx="1534795" cy="963930"/>
                        </a:xfrm>
                        <a:prstGeom prst="rect">
                          <a:avLst/>
                        </a:prstGeom>
                        <a:solidFill>
                          <a:srgbClr val="FFFFFF"/>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584200</wp:posOffset>
                </wp:positionH>
                <wp:positionV relativeFrom="paragraph">
                  <wp:posOffset>444500</wp:posOffset>
                </wp:positionV>
                <wp:extent cx="1544320" cy="973455"/>
                <wp:effectExtent b="0" l="0" r="0" t="0"/>
                <wp:wrapNone/>
                <wp:docPr id="4" name="image6.png"/>
                <a:graphic>
                  <a:graphicData uri="http://schemas.openxmlformats.org/drawingml/2006/picture">
                    <pic:pic>
                      <pic:nvPicPr>
                        <pic:cNvPr id="0" name="image6.png"/>
                        <pic:cNvPicPr preferRelativeResize="0"/>
                      </pic:nvPicPr>
                      <pic:blipFill>
                        <a:blip r:embed="rId8"/>
                        <a:srcRect/>
                        <a:stretch>
                          <a:fillRect/>
                        </a:stretch>
                      </pic:blipFill>
                      <pic:spPr>
                        <a:xfrm>
                          <a:off x="0" y="0"/>
                          <a:ext cx="1544320" cy="97345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-12699</wp:posOffset>
                </wp:positionH>
                <wp:positionV relativeFrom="paragraph">
                  <wp:posOffset>0</wp:posOffset>
                </wp:positionV>
                <wp:extent cx="6920230" cy="1294568"/>
                <wp:effectExtent b="0" l="0" r="0" t="0"/>
                <wp:wrapNone/>
                <wp:docPr id="1" name=""/>
                <a:graphic>
                  <a:graphicData uri="http://schemas.microsoft.com/office/word/2010/wordprocessingGroup">
                    <wpg:wgp>
                      <wpg:cNvGrpSpPr/>
                      <wpg:grpSpPr>
                        <a:xfrm>
                          <a:off x="1885875" y="3142450"/>
                          <a:ext cx="6920230" cy="1294568"/>
                          <a:chOff x="1885875" y="3142450"/>
                          <a:chExt cx="6905650" cy="1275100"/>
                        </a:xfrm>
                      </wpg:grpSpPr>
                      <wpg:grpSp>
                        <wpg:cNvGrpSpPr/>
                        <wpg:grpSpPr>
                          <a:xfrm>
                            <a:off x="1885885" y="3142460"/>
                            <a:ext cx="6905625" cy="1275080"/>
                            <a:chOff x="1113" y="1760"/>
                            <a:chExt cx="10875" cy="2008"/>
                          </a:xfrm>
                        </wpg:grpSpPr>
                        <wps:wsp>
                          <wps:cNvSpPr/>
                          <wps:cNvPr id="3" name="Shape 3"/>
                          <wps:spPr>
                            <a:xfrm>
                              <a:off x="1113" y="1760"/>
                              <a:ext cx="10875" cy="20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 name="Shape 4"/>
                          <wps:spPr>
                            <a:xfrm>
                              <a:off x="4735" y="2808"/>
                              <a:ext cx="3060" cy="960"/>
                            </a:xfrm>
                            <a:prstGeom prst="rect">
                              <a:avLst/>
                            </a:prstGeom>
                            <a:solidFill>
                              <a:srgbClr val="FFFFFF"/>
                            </a:solidFill>
                            <a:ln>
                              <a:noFill/>
                            </a:ln>
                          </wps:spPr>
                          <wps:txbx>
                            <w:txbxContent>
                              <w:p w:rsidR="00000000" w:rsidDel="00000000" w:rsidP="00000000" w:rsidRDefault="00000000" w:rsidRPr="00000000">
                                <w:pPr>
                                  <w:spacing w:after="0" w:before="0" w:line="240"/>
                                  <w:ind w:left="0" w:right="0" w:firstLine="0"/>
                                  <w:jc w:val="center"/>
                                  <w:textDirection w:val="btLr"/>
                                </w:pPr>
                              </w:p>
                              <w:p w:rsidR="00000000" w:rsidDel="00000000" w:rsidP="00000000" w:rsidRDefault="00000000" w:rsidRPr="00000000">
                                <w:pPr>
                                  <w:spacing w:after="0" w:before="0" w:line="240"/>
                                  <w:ind w:left="0" w:right="0" w:firstLine="0"/>
                                  <w:jc w:val="left"/>
                                  <w:textDirection w:val="btLr"/>
                                </w:pPr>
                                <w:r w:rsidDel="00000000" w:rsidR="00000000" w:rsidRPr="00000000">
                                  <w:rPr>
                                    <w:rFonts w:ascii="Gill Sans" w:cs="Gill Sans" w:eastAsia="Gill Sans" w:hAnsi="Gill Sans"/>
                                    <w:b w:val="0"/>
                                    <w:i w:val="0"/>
                                    <w:smallCaps w:val="0"/>
                                    <w:strike w:val="0"/>
                                    <w:color w:val="533601"/>
                                    <w:sz w:val="20"/>
                                    <w:vertAlign w:val="baseline"/>
                                  </w:rPr>
                                </w:r>
                              </w:p>
                            </w:txbxContent>
                          </wps:txbx>
                          <wps:bodyPr anchorCtr="0" anchor="t" bIns="36175" lIns="36175" spcFirstLastPara="1" rIns="36175" wrap="square" tIns="36175">
                            <a:noAutofit/>
                          </wps:bodyPr>
                        </wps:wsp>
                        <wps:wsp>
                          <wps:cNvSpPr/>
                          <wps:cNvPr id="5" name="Shape 5"/>
                          <wps:spPr>
                            <a:xfrm>
                              <a:off x="8155" y="2011"/>
                              <a:ext cx="3600" cy="1500"/>
                            </a:xfrm>
                            <a:prstGeom prst="rect">
                              <a:avLst/>
                            </a:prstGeom>
                            <a:solidFill>
                              <a:srgbClr val="FFFFFF"/>
                            </a:solidFill>
                            <a:ln>
                              <a:noFill/>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Gill Sans" w:cs="Gill Sans" w:eastAsia="Gill Sans" w:hAnsi="Gill Sans"/>
                                    <w:b w:val="0"/>
                                    <w:i w:val="0"/>
                                    <w:smallCaps w:val="0"/>
                                    <w:strike w:val="0"/>
                                    <w:color w:val="533601"/>
                                    <w:sz w:val="20"/>
                                    <w:vertAlign w:val="baseline"/>
                                  </w:rPr>
                                  <w:t xml:space="preserve">233 Cascade Street,</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Gill Sans" w:cs="Gill Sans" w:eastAsia="Gill Sans" w:hAnsi="Gill Sans"/>
                                    <w:b w:val="0"/>
                                    <w:i w:val="0"/>
                                    <w:smallCaps w:val="0"/>
                                    <w:strike w:val="0"/>
                                    <w:color w:val="533601"/>
                                    <w:sz w:val="20"/>
                                    <w:vertAlign w:val="baseline"/>
                                  </w:rPr>
                                </w:r>
                                <w:r w:rsidDel="00000000" w:rsidR="00000000" w:rsidRPr="00000000">
                                  <w:rPr>
                                    <w:rFonts w:ascii="Gill Sans" w:cs="Gill Sans" w:eastAsia="Gill Sans" w:hAnsi="Gill Sans"/>
                                    <w:b w:val="0"/>
                                    <w:i w:val="0"/>
                                    <w:smallCaps w:val="0"/>
                                    <w:strike w:val="0"/>
                                    <w:color w:val="533601"/>
                                    <w:sz w:val="20"/>
                                    <w:vertAlign w:val="baseline"/>
                                  </w:rPr>
                                  <w:t xml:space="preserve">Wolf Point, MT 59201</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Gill Sans" w:cs="Gill Sans" w:eastAsia="Gill Sans" w:hAnsi="Gill Sans"/>
                                    <w:b w:val="0"/>
                                    <w:i w:val="0"/>
                                    <w:smallCaps w:val="0"/>
                                    <w:strike w:val="0"/>
                                    <w:color w:val="533601"/>
                                    <w:sz w:val="20"/>
                                    <w:vertAlign w:val="baseline"/>
                                  </w:rPr>
                                </w:r>
                                <w:r w:rsidDel="00000000" w:rsidR="00000000" w:rsidRPr="00000000">
                                  <w:rPr>
                                    <w:rFonts w:ascii="Gill Sans" w:cs="Gill Sans" w:eastAsia="Gill Sans" w:hAnsi="Gill Sans"/>
                                    <w:b w:val="0"/>
                                    <w:i w:val="0"/>
                                    <w:smallCaps w:val="0"/>
                                    <w:strike w:val="0"/>
                                    <w:color w:val="000099"/>
                                    <w:sz w:val="20"/>
                                    <w:u w:val="single"/>
                                    <w:vertAlign w:val="baseline"/>
                                  </w:rPr>
                                  <w:t xml:space="preserve">www.gndc.org</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Gill Sans" w:cs="Gill Sans" w:eastAsia="Gill Sans" w:hAnsi="Gill Sans"/>
                                    <w:b w:val="0"/>
                                    <w:i w:val="0"/>
                                    <w:smallCaps w:val="0"/>
                                    <w:strike w:val="0"/>
                                    <w:color w:val="533601"/>
                                    <w:sz w:val="20"/>
                                    <w:vertAlign w:val="baseline"/>
                                  </w:rPr>
                                </w:r>
                                <w:r w:rsidDel="00000000" w:rsidR="00000000" w:rsidRPr="00000000">
                                  <w:rPr>
                                    <w:rFonts w:ascii="Gill Sans" w:cs="Gill Sans" w:eastAsia="Gill Sans" w:hAnsi="Gill Sans"/>
                                    <w:b w:val="0"/>
                                    <w:i w:val="0"/>
                                    <w:smallCaps w:val="0"/>
                                    <w:strike w:val="0"/>
                                    <w:color w:val="533601"/>
                                    <w:sz w:val="20"/>
                                    <w:vertAlign w:val="baseline"/>
                                  </w:rPr>
                                  <w:t xml:space="preserve">Phone: 406-653-2590</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Gill Sans" w:cs="Gill Sans" w:eastAsia="Gill Sans" w:hAnsi="Gill Sans"/>
                                    <w:b w:val="0"/>
                                    <w:i w:val="0"/>
                                    <w:smallCaps w:val="0"/>
                                    <w:strike w:val="0"/>
                                    <w:color w:val="533601"/>
                                    <w:sz w:val="20"/>
                                    <w:vertAlign w:val="baseline"/>
                                  </w:rPr>
                                </w:r>
                                <w:r w:rsidDel="00000000" w:rsidR="00000000" w:rsidRPr="00000000">
                                  <w:rPr>
                                    <w:rFonts w:ascii="Gill Sans" w:cs="Gill Sans" w:eastAsia="Gill Sans" w:hAnsi="Gill Sans"/>
                                    <w:b w:val="0"/>
                                    <w:i w:val="0"/>
                                    <w:smallCaps w:val="0"/>
                                    <w:strike w:val="0"/>
                                    <w:color w:val="533601"/>
                                    <w:sz w:val="20"/>
                                    <w:vertAlign w:val="baseline"/>
                                  </w:rPr>
                                  <w:t xml:space="preserve">Email: tmatejovsky@gndc.org</w:t>
                                </w:r>
                              </w:p>
                            </w:txbxContent>
                          </wps:txbx>
                          <wps:bodyPr anchorCtr="0" anchor="t" bIns="36175" lIns="36175" spcFirstLastPara="1" rIns="36175" wrap="square" tIns="36175">
                            <a:noAutofit/>
                          </wps:bodyPr>
                        </wps:wsp>
                        <pic:pic>
                          <pic:nvPicPr>
                            <pic:cNvPr descr="2014 logo" id="6" name="Shape 6"/>
                            <pic:cNvPicPr preferRelativeResize="0"/>
                          </pic:nvPicPr>
                          <pic:blipFill rotWithShape="1">
                            <a:blip r:embed="rId9">
                              <a:alphaModFix/>
                            </a:blip>
                            <a:srcRect b="0" l="0" r="0" t="0"/>
                            <a:stretch/>
                          </pic:blipFill>
                          <pic:spPr>
                            <a:xfrm>
                              <a:off x="1113" y="1760"/>
                              <a:ext cx="3469" cy="2008"/>
                            </a:xfrm>
                            <a:prstGeom prst="rect">
                              <a:avLst/>
                            </a:prstGeom>
                            <a:noFill/>
                            <a:ln>
                              <a:noFill/>
                            </a:ln>
                          </pic:spPr>
                        </pic:pic>
                      </wpg:grpSp>
                    </wpg:wgp>
                  </a:graphicData>
                </a:graphic>
              </wp:anchor>
            </w:drawing>
          </mc:Choice>
          <mc:Fallback>
            <w:drawing>
              <wp:anchor allowOverlap="1" behindDoc="0" distB="0" distT="0" distL="114300" distR="114300" hidden="0" layoutInCell="1" locked="0" relativeHeight="0" simplePos="0">
                <wp:simplePos x="0" y="0"/>
                <wp:positionH relativeFrom="column">
                  <wp:posOffset>-12699</wp:posOffset>
                </wp:positionH>
                <wp:positionV relativeFrom="paragraph">
                  <wp:posOffset>0</wp:posOffset>
                </wp:positionV>
                <wp:extent cx="6920230" cy="1294568"/>
                <wp:effectExtent b="0" l="0" r="0" t="0"/>
                <wp:wrapNone/>
                <wp:docPr id="1" name="image2.png"/>
                <a:graphic>
                  <a:graphicData uri="http://schemas.openxmlformats.org/drawingml/2006/picture">
                    <pic:pic>
                      <pic:nvPicPr>
                        <pic:cNvPr id="0" name="image2.png"/>
                        <pic:cNvPicPr preferRelativeResize="0"/>
                      </pic:nvPicPr>
                      <pic:blipFill>
                        <a:blip r:embed="rId10"/>
                        <a:srcRect/>
                        <a:stretch>
                          <a:fillRect/>
                        </a:stretch>
                      </pic:blipFill>
                      <pic:spPr>
                        <a:xfrm>
                          <a:off x="0" y="0"/>
                          <a:ext cx="6920230" cy="1294568"/>
                        </a:xfrm>
                        <a:prstGeom prst="rect"/>
                        <a:ln/>
                      </pic:spPr>
                    </pic:pic>
                  </a:graphicData>
                </a:graphic>
              </wp:anchor>
            </w:drawing>
          </mc:Fallback>
        </mc:AlternateContent>
      </w:r>
    </w:p>
    <w:p w:rsidR="00000000" w:rsidDel="00000000" w:rsidP="00000000" w:rsidRDefault="00000000" w:rsidRPr="00000000" w14:paraId="00000002">
      <w:pPr>
        <w:rPr/>
      </w:pPr>
      <w:r w:rsidDel="00000000" w:rsidR="00000000" w:rsidRPr="00000000">
        <w:rPr>
          <w:rtl w:val="0"/>
        </w:rPr>
      </w:r>
      <w:r w:rsidDel="00000000" w:rsidR="00000000" w:rsidRPr="00000000">
        <mc:AlternateContent>
          <mc:Choice Requires="wpg">
            <w:drawing>
              <wp:anchor allowOverlap="1" behindDoc="0" distB="36576" distT="36576" distL="36576" distR="36576" hidden="0" layoutInCell="1" locked="0" relativeHeight="0" simplePos="0">
                <wp:simplePos x="0" y="0"/>
                <wp:positionH relativeFrom="column">
                  <wp:posOffset>1535176</wp:posOffset>
                </wp:positionH>
                <wp:positionV relativeFrom="paragraph">
                  <wp:posOffset>49276</wp:posOffset>
                </wp:positionV>
                <wp:extent cx="25400" cy="12700"/>
                <wp:effectExtent b="0" l="0" r="0" t="0"/>
                <wp:wrapNone/>
                <wp:docPr id="2" name=""/>
                <a:graphic>
                  <a:graphicData uri="http://schemas.microsoft.com/office/word/2010/wordprocessingShape">
                    <wps:wsp>
                      <wps:cNvCnPr/>
                      <wps:spPr>
                        <a:xfrm>
                          <a:off x="5346000" y="3780000"/>
                          <a:ext cx="0" cy="0"/>
                        </a:xfrm>
                        <a:prstGeom prst="straightConnector1">
                          <a:avLst/>
                        </a:prstGeom>
                        <a:noFill/>
                        <a:ln cap="flat" cmpd="sng" w="25400">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36576" distT="36576" distL="36576" distR="36576" hidden="0" layoutInCell="1" locked="0" relativeHeight="0" simplePos="0">
                <wp:simplePos x="0" y="0"/>
                <wp:positionH relativeFrom="column">
                  <wp:posOffset>1535176</wp:posOffset>
                </wp:positionH>
                <wp:positionV relativeFrom="paragraph">
                  <wp:posOffset>49276</wp:posOffset>
                </wp:positionV>
                <wp:extent cx="25400" cy="12700"/>
                <wp:effectExtent b="0" l="0" r="0" t="0"/>
                <wp:wrapNone/>
                <wp:docPr id="2" name="image3.png"/>
                <a:graphic>
                  <a:graphicData uri="http://schemas.openxmlformats.org/drawingml/2006/picture">
                    <pic:pic>
                      <pic:nvPicPr>
                        <pic:cNvPr id="0" name="image3.png"/>
                        <pic:cNvPicPr preferRelativeResize="0"/>
                      </pic:nvPicPr>
                      <pic:blipFill>
                        <a:blip r:embed="rId11"/>
                        <a:srcRect/>
                        <a:stretch>
                          <a:fillRect/>
                        </a:stretch>
                      </pic:blipFill>
                      <pic:spPr>
                        <a:xfrm>
                          <a:off x="0" y="0"/>
                          <a:ext cx="25400" cy="12700"/>
                        </a:xfrm>
                        <a:prstGeom prst="rect"/>
                        <a:ln/>
                      </pic:spPr>
                    </pic:pic>
                  </a:graphicData>
                </a:graphic>
              </wp:anchor>
            </w:drawing>
          </mc:Fallback>
        </mc:AlternateContent>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ind w:right="-720"/>
        <w:rPr/>
      </w:pPr>
      <w:r w:rsidDel="00000000" w:rsidR="00000000" w:rsidRPr="00000000">
        <w:rPr>
          <w:rtl w:val="0"/>
        </w:rPr>
      </w:r>
    </w:p>
    <w:p w:rsidR="00000000" w:rsidDel="00000000" w:rsidP="00000000" w:rsidRDefault="00000000" w:rsidRPr="00000000" w14:paraId="00000006">
      <w:pPr>
        <w:jc w:val="center"/>
        <w:rPr>
          <w:rFonts w:ascii="Cambria" w:cs="Cambria" w:eastAsia="Cambria" w:hAnsi="Cambria"/>
          <w:b w:val="1"/>
        </w:rPr>
      </w:pPr>
      <w:r w:rsidDel="00000000" w:rsidR="00000000" w:rsidRPr="00000000">
        <w:rPr>
          <w:rtl w:val="0"/>
        </w:rPr>
      </w:r>
    </w:p>
    <w:p w:rsidR="00000000" w:rsidDel="00000000" w:rsidP="00000000" w:rsidRDefault="00000000" w:rsidRPr="00000000" w14:paraId="00000007">
      <w:pPr>
        <w:jc w:val="center"/>
        <w:rPr>
          <w:rFonts w:ascii="Cambria" w:cs="Cambria" w:eastAsia="Cambria" w:hAnsi="Cambria"/>
          <w:b w:val="1"/>
        </w:rPr>
      </w:pPr>
      <w:r w:rsidDel="00000000" w:rsidR="00000000" w:rsidRPr="00000000">
        <w:rPr>
          <w:rtl w:val="0"/>
        </w:rPr>
      </w:r>
    </w:p>
    <w:p w:rsidR="00000000" w:rsidDel="00000000" w:rsidP="00000000" w:rsidRDefault="00000000" w:rsidRPr="00000000" w14:paraId="00000008">
      <w:pPr>
        <w:jc w:val="center"/>
        <w:rPr>
          <w:rFonts w:ascii="Cambria" w:cs="Cambria" w:eastAsia="Cambria" w:hAnsi="Cambria"/>
          <w:b w:val="1"/>
        </w:rPr>
      </w:pPr>
      <w:r w:rsidDel="00000000" w:rsidR="00000000" w:rsidRPr="00000000">
        <w:rPr>
          <w:rtl w:val="0"/>
        </w:rPr>
      </w:r>
    </w:p>
    <w:p w:rsidR="00000000" w:rsidDel="00000000" w:rsidP="00000000" w:rsidRDefault="00000000" w:rsidRPr="00000000" w14:paraId="00000009">
      <w:pPr>
        <w:jc w:val="center"/>
        <w:rPr>
          <w:rFonts w:ascii="Cambria" w:cs="Cambria" w:eastAsia="Cambria" w:hAnsi="Cambria"/>
          <w:b w:val="1"/>
        </w:rPr>
      </w:pPr>
      <w:r w:rsidDel="00000000" w:rsidR="00000000" w:rsidRPr="00000000">
        <w:rPr>
          <w:rFonts w:ascii="Cambria" w:cs="Cambria" w:eastAsia="Cambria" w:hAnsi="Cambria"/>
          <w:b w:val="1"/>
          <w:rtl w:val="0"/>
        </w:rPr>
        <w:t xml:space="preserve">Food &amp; Ag Development Center Director</w:t>
      </w:r>
    </w:p>
    <w:p w:rsidR="00000000" w:rsidDel="00000000" w:rsidP="00000000" w:rsidRDefault="00000000" w:rsidRPr="00000000" w14:paraId="0000000A">
      <w:pPr>
        <w:jc w:val="center"/>
        <w:rPr>
          <w:rFonts w:ascii="Cambria" w:cs="Cambria" w:eastAsia="Cambria" w:hAnsi="Cambria"/>
          <w:b w:val="1"/>
        </w:rPr>
      </w:pPr>
      <w:r w:rsidDel="00000000" w:rsidR="00000000" w:rsidRPr="00000000">
        <w:rPr>
          <w:rFonts w:ascii="Cambria" w:cs="Cambria" w:eastAsia="Cambria" w:hAnsi="Cambria"/>
          <w:b w:val="1"/>
          <w:rtl w:val="0"/>
        </w:rPr>
        <w:t xml:space="preserve">Position Description</w:t>
      </w:r>
    </w:p>
    <w:p w:rsidR="00000000" w:rsidDel="00000000" w:rsidP="00000000" w:rsidRDefault="00000000" w:rsidRPr="00000000" w14:paraId="0000000B">
      <w:pPr>
        <w:rPr>
          <w:rFonts w:ascii="Cambria" w:cs="Cambria" w:eastAsia="Cambria" w:hAnsi="Cambria"/>
          <w:b w:val="1"/>
        </w:rPr>
      </w:pPr>
      <w:r w:rsidDel="00000000" w:rsidR="00000000" w:rsidRPr="00000000">
        <w:rPr>
          <w:rtl w:val="0"/>
        </w:rPr>
      </w:r>
    </w:p>
    <w:p w:rsidR="00000000" w:rsidDel="00000000" w:rsidP="00000000" w:rsidRDefault="00000000" w:rsidRPr="00000000" w14:paraId="0000000C">
      <w:pPr>
        <w:rPr>
          <w:rFonts w:ascii="Cambria" w:cs="Cambria" w:eastAsia="Cambria" w:hAnsi="Cambria"/>
          <w:b w:val="1"/>
        </w:rPr>
      </w:pPr>
      <w:r w:rsidDel="00000000" w:rsidR="00000000" w:rsidRPr="00000000">
        <w:rPr>
          <w:rFonts w:ascii="Cambria" w:cs="Cambria" w:eastAsia="Cambria" w:hAnsi="Cambria"/>
          <w:b w:val="1"/>
          <w:rtl w:val="0"/>
        </w:rPr>
        <w:t xml:space="preserve">Summary</w:t>
      </w:r>
    </w:p>
    <w:p w:rsidR="00000000" w:rsidDel="00000000" w:rsidP="00000000" w:rsidRDefault="00000000" w:rsidRPr="00000000" w14:paraId="0000000D">
      <w:pPr>
        <w:rPr>
          <w:rFonts w:ascii="Calibri" w:cs="Calibri" w:eastAsia="Calibri" w:hAnsi="Calibri"/>
        </w:rPr>
      </w:pPr>
      <w:r w:rsidDel="00000000" w:rsidR="00000000" w:rsidRPr="00000000">
        <w:rPr>
          <w:rFonts w:ascii="Calibri" w:cs="Calibri" w:eastAsia="Calibri" w:hAnsi="Calibri"/>
          <w:rtl w:val="0"/>
        </w:rPr>
        <w:t xml:space="preserve">The Food &amp; Agriculture Development Center (FADC) Director is a full-time position responsible for facilitating Food &amp; Agriculture Business Development that contributes to the success and diversity of the agriculture industry in eastern Montana.  This position reports directly to the Great Northern Development Corporation (GNDC) Executive Director.  This position will administer the GNDC Food and Agriculture Development Center contract with the Montana Department of Agriculture:</w:t>
      </w:r>
    </w:p>
    <w:p w:rsidR="00000000" w:rsidDel="00000000" w:rsidP="00000000" w:rsidRDefault="00000000" w:rsidRPr="00000000" w14:paraId="0000000E">
      <w:pPr>
        <w:rPr>
          <w:rFonts w:ascii="Calibri" w:cs="Calibri" w:eastAsia="Calibri" w:hAnsi="Calibri"/>
        </w:rPr>
      </w:pPr>
      <w:r w:rsidDel="00000000" w:rsidR="00000000" w:rsidRPr="00000000">
        <w:rPr>
          <w:rtl w:val="0"/>
        </w:rPr>
      </w:r>
    </w:p>
    <w:p w:rsidR="00000000" w:rsidDel="00000000" w:rsidP="00000000" w:rsidRDefault="00000000" w:rsidRPr="00000000" w14:paraId="0000000F">
      <w:pPr>
        <w:rPr>
          <w:rFonts w:ascii="Calibri" w:cs="Calibri" w:eastAsia="Calibri" w:hAnsi="Calibri"/>
        </w:rPr>
      </w:pPr>
      <w:r w:rsidDel="00000000" w:rsidR="00000000" w:rsidRPr="00000000">
        <w:rPr>
          <w:rFonts w:ascii="Cambria" w:cs="Cambria" w:eastAsia="Cambria" w:hAnsi="Cambria"/>
          <w:b w:val="1"/>
          <w:rtl w:val="0"/>
        </w:rPr>
        <w:t xml:space="preserve">Essential Duties, Responsibilities, and Expectations: </w:t>
      </w:r>
      <w:r w:rsidDel="00000000" w:rsidR="00000000" w:rsidRPr="00000000">
        <w:rPr>
          <w:rtl w:val="0"/>
        </w:rPr>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Work closely with the GNDC SBDC Director to </w:t>
      </w:r>
      <w:r w:rsidDel="00000000" w:rsidR="00000000" w:rsidRPr="00000000">
        <w:rPr>
          <w:rFonts w:ascii="Calibri" w:cs="Calibri" w:eastAsia="Calibri" w:hAnsi="Calibri"/>
          <w:sz w:val="22"/>
          <w:szCs w:val="22"/>
          <w:rtl w:val="0"/>
        </w:rPr>
        <w:t xml:space="preserve">counsel producers, manufacturers, or producer groups one-on-one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1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Identify and secure resources to move value-added ag projects forward, including grant identification, </w:t>
      </w:r>
      <w:r w:rsidDel="00000000" w:rsidR="00000000" w:rsidRPr="00000000">
        <w:rPr>
          <w:rFonts w:ascii="Calibri" w:cs="Calibri" w:eastAsia="Calibri" w:hAnsi="Calibri"/>
          <w:sz w:val="22"/>
          <w:szCs w:val="22"/>
          <w:rtl w:val="0"/>
        </w:rPr>
        <w:t xml:space="preserve">writing,</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and loan application assistance. </w:t>
      </w:r>
    </w:p>
    <w:p w:rsidR="00000000" w:rsidDel="00000000" w:rsidP="00000000" w:rsidRDefault="00000000" w:rsidRPr="00000000" w14:paraId="0000001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Assist producers in developing applications to the Montana Department of Agriculture Growth Through Agriculture, the USDA Value Added Agriculture Producer Grant programs, and other grant programs as applicable.</w:t>
      </w:r>
    </w:p>
    <w:p w:rsidR="00000000" w:rsidDel="00000000" w:rsidP="00000000" w:rsidRDefault="00000000" w:rsidRPr="00000000" w14:paraId="0000001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Assist producers in </w:t>
      </w:r>
      <w:r w:rsidDel="00000000" w:rsidR="00000000" w:rsidRPr="00000000">
        <w:rPr>
          <w:rFonts w:ascii="Calibri" w:cs="Calibri" w:eastAsia="Calibri" w:hAnsi="Calibri"/>
          <w:sz w:val="22"/>
          <w:szCs w:val="22"/>
          <w:rtl w:val="0"/>
        </w:rPr>
        <w:t xml:space="preserve">developing business, marketing, and financial plans for start-up and expansion of value-added and agricultural production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1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Conduct networking and outreach activities to promote the FADC and encourage more value-added agriculture and food production and processing in eastern Montana.</w:t>
      </w:r>
    </w:p>
    <w:p w:rsidR="00000000" w:rsidDel="00000000" w:rsidP="00000000" w:rsidRDefault="00000000" w:rsidRPr="00000000" w14:paraId="0000001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Travel to meet with clients, </w:t>
      </w:r>
      <w:r w:rsidDel="00000000" w:rsidR="00000000" w:rsidRPr="00000000">
        <w:rPr>
          <w:rFonts w:ascii="Calibri" w:cs="Calibri" w:eastAsia="Calibri" w:hAnsi="Calibri"/>
          <w:sz w:val="22"/>
          <w:szCs w:val="22"/>
          <w:rtl w:val="0"/>
        </w:rPr>
        <w:t xml:space="preserve">and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potential clients, conduct workshops </w:t>
      </w:r>
      <w:r w:rsidDel="00000000" w:rsidR="00000000" w:rsidRPr="00000000">
        <w:rPr>
          <w:rFonts w:ascii="Calibri" w:cs="Calibri" w:eastAsia="Calibri" w:hAnsi="Calibri"/>
          <w:sz w:val="22"/>
          <w:szCs w:val="22"/>
          <w:rtl w:val="0"/>
        </w:rPr>
        <w:t xml:space="preserve">and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training, and meet with potential stakeholders and partners.</w:t>
      </w:r>
    </w:p>
    <w:p w:rsidR="00000000" w:rsidDel="00000000" w:rsidP="00000000" w:rsidRDefault="00000000" w:rsidRPr="00000000" w14:paraId="0000001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Collaborate with stakeholders and partners to organize an annual event around value-added and production agriculture in eastern Montana.</w:t>
      </w:r>
    </w:p>
    <w:p w:rsidR="00000000" w:rsidDel="00000000" w:rsidP="00000000" w:rsidRDefault="00000000" w:rsidRPr="00000000" w14:paraId="0000001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Plan, analyze, and implement strategies to promote economic development in eastern Montana.</w:t>
      </w:r>
    </w:p>
    <w:p w:rsidR="00000000" w:rsidDel="00000000" w:rsidP="00000000" w:rsidRDefault="00000000" w:rsidRPr="00000000" w14:paraId="0000001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Assist producers by developing infrastructure for small-scale food processing </w:t>
      </w:r>
      <w:r w:rsidDel="00000000" w:rsidR="00000000" w:rsidRPr="00000000">
        <w:rPr>
          <w:rFonts w:ascii="Calibri" w:cs="Calibri" w:eastAsia="Calibri" w:hAnsi="Calibri"/>
          <w:sz w:val="22"/>
          <w:szCs w:val="22"/>
          <w:rtl w:val="0"/>
        </w:rPr>
        <w:t xml:space="preserve">and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food-business incubation using locally grown products.</w:t>
      </w:r>
    </w:p>
    <w:p w:rsidR="00000000" w:rsidDel="00000000" w:rsidP="00000000" w:rsidRDefault="00000000" w:rsidRPr="00000000" w14:paraId="0000001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Implementation of the goals and objectives of the Food and Agriculture Development Center at Great Northern Development Corporation</w:t>
      </w:r>
    </w:p>
    <w:p w:rsidR="00000000" w:rsidDel="00000000" w:rsidP="00000000" w:rsidRDefault="00000000" w:rsidRPr="00000000" w14:paraId="0000001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Perform other duties as necessary or assigned by the Executive Director.</w:t>
      </w:r>
    </w:p>
    <w:p w:rsidR="00000000" w:rsidDel="00000000" w:rsidP="00000000" w:rsidRDefault="00000000" w:rsidRPr="00000000" w14:paraId="0000001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Monitor and assist the Food &amp; Agriculture Development Specialist position hosted within the FADC partner organization, Eastern Plains Economic Development Corporation. </w:t>
      </w:r>
    </w:p>
    <w:p w:rsidR="00000000" w:rsidDel="00000000" w:rsidP="00000000" w:rsidRDefault="00000000" w:rsidRPr="00000000" w14:paraId="0000001C">
      <w:pPr>
        <w:rPr>
          <w:rFonts w:ascii="Cambria" w:cs="Cambria" w:eastAsia="Cambria" w:hAnsi="Cambria"/>
          <w:b w:val="1"/>
        </w:rPr>
      </w:pPr>
      <w:r w:rsidDel="00000000" w:rsidR="00000000" w:rsidRPr="00000000">
        <w:rPr>
          <w:rFonts w:ascii="Cambria" w:cs="Cambria" w:eastAsia="Cambria" w:hAnsi="Cambria"/>
          <w:b w:val="1"/>
          <w:rtl w:val="0"/>
        </w:rPr>
        <w:t xml:space="preserve">Minimum </w:t>
      </w:r>
      <w:r w:rsidDel="00000000" w:rsidR="00000000" w:rsidRPr="00000000">
        <w:rPr>
          <w:rFonts w:ascii="Cambria" w:cs="Cambria" w:eastAsia="Cambria" w:hAnsi="Cambria"/>
          <w:b w:val="1"/>
          <w:rtl w:val="0"/>
        </w:rPr>
        <w:t xml:space="preserve">Qualifications:</w:t>
      </w:r>
    </w:p>
    <w:p w:rsidR="00000000" w:rsidDel="00000000" w:rsidP="00000000" w:rsidRDefault="00000000" w:rsidRPr="00000000" w14:paraId="0000001D">
      <w:pPr>
        <w:numPr>
          <w:ilvl w:val="0"/>
          <w:numId w:val="2"/>
        </w:numPr>
        <w:ind w:left="720" w:hanging="360"/>
        <w:rPr>
          <w:sz w:val="22"/>
          <w:szCs w:val="22"/>
        </w:rPr>
      </w:pPr>
      <w:r w:rsidDel="00000000" w:rsidR="00000000" w:rsidRPr="00000000">
        <w:rPr>
          <w:rFonts w:ascii="Calibri" w:cs="Calibri" w:eastAsia="Calibri" w:hAnsi="Calibri"/>
          <w:sz w:val="22"/>
          <w:szCs w:val="22"/>
          <w:rtl w:val="0"/>
        </w:rPr>
        <w:t xml:space="preserve">Minimum Education Level:  Bachelor’s Degree in a related field OR 3 years of comparable experience desired</w:t>
      </w:r>
    </w:p>
    <w:p w:rsidR="00000000" w:rsidDel="00000000" w:rsidP="00000000" w:rsidRDefault="00000000" w:rsidRPr="00000000" w14:paraId="0000001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Professional experience implementing specific project goals and objectives.</w:t>
      </w:r>
    </w:p>
    <w:p w:rsidR="00000000" w:rsidDel="00000000" w:rsidP="00000000" w:rsidRDefault="00000000" w:rsidRPr="00000000" w14:paraId="0000001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Demonstrated competency in persuasive writing, team collaboration, effective verbal and written communication</w:t>
      </w:r>
      <w:r w:rsidDel="00000000" w:rsidR="00000000" w:rsidRPr="00000000">
        <w:rPr>
          <w:rFonts w:ascii="Calibri" w:cs="Calibri" w:eastAsia="Calibri" w:hAnsi="Calibri"/>
          <w:sz w:val="22"/>
          <w:szCs w:val="22"/>
          <w:rtl w:val="0"/>
        </w:rPr>
        <w:t xml:space="preserv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and attention to detail.</w:t>
      </w:r>
      <w:r w:rsidDel="00000000" w:rsidR="00000000" w:rsidRPr="00000000">
        <w:rPr>
          <w:rtl w:val="0"/>
        </w:rPr>
      </w:r>
    </w:p>
    <w:p w:rsidR="00000000" w:rsidDel="00000000" w:rsidP="00000000" w:rsidRDefault="00000000" w:rsidRPr="00000000" w14:paraId="0000002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Skilled in coordinating large, complex projects, meeting deadlines, and working effectively under pressure.</w:t>
      </w:r>
    </w:p>
    <w:p w:rsidR="00000000" w:rsidDel="00000000" w:rsidP="00000000" w:rsidRDefault="00000000" w:rsidRPr="00000000" w14:paraId="0000002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ability to prepare written reports to funding partners and present summaries of collaboration and leveraging efforts to the </w:t>
      </w:r>
      <w:r w:rsidDel="00000000" w:rsidR="00000000" w:rsidRPr="00000000">
        <w:rPr>
          <w:rFonts w:ascii="Calibri" w:cs="Calibri" w:eastAsia="Calibri" w:hAnsi="Calibri"/>
          <w:sz w:val="22"/>
          <w:szCs w:val="22"/>
          <w:rtl w:val="0"/>
        </w:rPr>
        <w:t xml:space="preserve">GNDC</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Board of Directors, Montana Department of Agriculture, and other stakeholders.   </w:t>
      </w:r>
    </w:p>
    <w:p w:rsidR="00000000" w:rsidDel="00000000" w:rsidP="00000000" w:rsidRDefault="00000000" w:rsidRPr="00000000" w14:paraId="0000002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Competency in </w:t>
      </w:r>
      <w:r w:rsidDel="00000000" w:rsidR="00000000" w:rsidRPr="00000000">
        <w:rPr>
          <w:rFonts w:ascii="Calibri" w:cs="Calibri" w:eastAsia="Calibri" w:hAnsi="Calibri"/>
          <w:sz w:val="22"/>
          <w:szCs w:val="22"/>
          <w:rtl w:val="0"/>
        </w:rPr>
        <w:t xml:space="preserve">the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development and tracking of budgets and understanding financial statements.</w:t>
      </w:r>
      <w:r w:rsidDel="00000000" w:rsidR="00000000" w:rsidRPr="00000000">
        <w:rPr>
          <w:rtl w:val="0"/>
        </w:rPr>
      </w:r>
    </w:p>
    <w:p w:rsidR="00000000" w:rsidDel="00000000" w:rsidP="00000000" w:rsidRDefault="00000000" w:rsidRPr="00000000" w14:paraId="0000002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Experience with public speaking and group facilitation</w:t>
      </w:r>
      <w:r w:rsidDel="00000000" w:rsidR="00000000" w:rsidRPr="00000000">
        <w:rPr>
          <w:rtl w:val="0"/>
        </w:rPr>
      </w:r>
    </w:p>
    <w:p w:rsidR="00000000" w:rsidDel="00000000" w:rsidP="00000000" w:rsidRDefault="00000000" w:rsidRPr="00000000" w14:paraId="0000002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Proficiency in Microsoft applications (Excel and Word) is necessary</w:t>
      </w:r>
      <w:r w:rsidDel="00000000" w:rsidR="00000000" w:rsidRPr="00000000">
        <w:rPr>
          <w:rFonts w:ascii="Calibri" w:cs="Calibri" w:eastAsia="Calibri" w:hAnsi="Calibri"/>
          <w:sz w:val="22"/>
          <w:szCs w:val="22"/>
          <w:rtl w:val="0"/>
        </w:rPr>
        <w:t xml:space="preserv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ability to learn client management software and fund</w:t>
      </w:r>
      <w:r w:rsidDel="00000000" w:rsidR="00000000" w:rsidRPr="00000000">
        <w:rPr>
          <w:rFonts w:ascii="Calibri" w:cs="Calibri" w:eastAsia="Calibri" w:hAnsi="Calibri"/>
          <w:sz w:val="22"/>
          <w:szCs w:val="22"/>
          <w:rtl w:val="0"/>
        </w:rPr>
        <w:t xml:space="preserve">er reporting platforms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2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Must be willing and able to travel extensively throughout the FADC service region.  Some overnight and state/national travel may be necessary.</w:t>
      </w:r>
    </w:p>
    <w:p w:rsidR="00000000" w:rsidDel="00000000" w:rsidP="00000000" w:rsidRDefault="00000000" w:rsidRPr="00000000" w14:paraId="00000026">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sz w:val="22"/>
          <w:szCs w:val="22"/>
          <w:rtl w:val="0"/>
        </w:rPr>
        <w:t xml:space="preserve">The position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requires the ability to </w:t>
      </w:r>
      <w:r w:rsidDel="00000000" w:rsidR="00000000" w:rsidRPr="00000000">
        <w:rPr>
          <w:rFonts w:ascii="Calibri" w:cs="Calibri" w:eastAsia="Calibri" w:hAnsi="Calibri"/>
          <w:sz w:val="22"/>
          <w:szCs w:val="22"/>
          <w:rtl w:val="0"/>
        </w:rPr>
        <w:t xml:space="preserve">communicate regularly with the public, co-workers, and stakeholder groups and speak comfortably in front of small and medium audiences. </w:t>
      </w:r>
      <w:r w:rsidDel="00000000" w:rsidR="00000000" w:rsidRPr="00000000">
        <w:rPr>
          <w:rtl w:val="0"/>
        </w:rPr>
      </w:r>
    </w:p>
    <w:p w:rsidR="00000000" w:rsidDel="00000000" w:rsidP="00000000" w:rsidRDefault="00000000" w:rsidRPr="00000000" w14:paraId="00000027">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Must be self-motivated and willing to work creatively and independently. </w:t>
      </w:r>
    </w:p>
    <w:p w:rsidR="00000000" w:rsidDel="00000000" w:rsidP="00000000" w:rsidRDefault="00000000" w:rsidRPr="00000000" w14:paraId="0000002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Knowledge of Montana agriculture, value-added processes, and economic development</w:t>
      </w:r>
    </w:p>
    <w:p w:rsidR="00000000" w:rsidDel="00000000" w:rsidP="00000000" w:rsidRDefault="00000000" w:rsidRPr="00000000" w14:paraId="00000029">
      <w:pPr>
        <w:widowControl w:val="0"/>
        <w:rPr/>
      </w:pPr>
      <w:r w:rsidDel="00000000" w:rsidR="00000000" w:rsidRPr="00000000">
        <w:rPr>
          <w:rtl w:val="0"/>
        </w:rPr>
      </w:r>
    </w:p>
    <w:p w:rsidR="00000000" w:rsidDel="00000000" w:rsidP="00000000" w:rsidRDefault="00000000" w:rsidRPr="00000000" w14:paraId="0000002A">
      <w:pPr>
        <w:rPr>
          <w:rFonts w:ascii="Cambria" w:cs="Cambria" w:eastAsia="Cambria" w:hAnsi="Cambria"/>
          <w:b w:val="1"/>
        </w:rPr>
      </w:pPr>
      <w:r w:rsidDel="00000000" w:rsidR="00000000" w:rsidRPr="00000000">
        <w:rPr>
          <w:rFonts w:ascii="Cambria" w:cs="Cambria" w:eastAsia="Cambria" w:hAnsi="Cambria"/>
          <w:b w:val="1"/>
          <w:rtl w:val="0"/>
        </w:rPr>
        <w:t xml:space="preserve">Desired Skills and Qualifications:</w:t>
      </w:r>
      <w:r w:rsidDel="00000000" w:rsidR="00000000" w:rsidRPr="00000000">
        <w:rPr>
          <w:rtl w:val="0"/>
        </w:rPr>
      </w:r>
    </w:p>
    <w:p w:rsidR="00000000" w:rsidDel="00000000" w:rsidP="00000000" w:rsidRDefault="00000000" w:rsidRPr="00000000" w14:paraId="0000002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sz w:val="22"/>
          <w:szCs w:val="22"/>
          <w:rtl w:val="0"/>
        </w:rPr>
        <w:t xml:space="preserve">Strong communication and interpersonal skills. </w:t>
      </w:r>
    </w:p>
    <w:p w:rsidR="00000000" w:rsidDel="00000000" w:rsidP="00000000" w:rsidRDefault="00000000" w:rsidRPr="00000000" w14:paraId="0000002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Ability to collaborate and facilitate projects across other programs and organizations.</w:t>
      </w:r>
    </w:p>
    <w:p w:rsidR="00000000" w:rsidDel="00000000" w:rsidP="00000000" w:rsidRDefault="00000000" w:rsidRPr="00000000" w14:paraId="0000002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Experience working with a Board of Directors of a non-profit organization.</w:t>
      </w:r>
    </w:p>
    <w:p w:rsidR="00000000" w:rsidDel="00000000" w:rsidP="00000000" w:rsidRDefault="00000000" w:rsidRPr="00000000" w14:paraId="0000002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Administrative and project management experience</w:t>
      </w:r>
    </w:p>
    <w:p w:rsidR="00000000" w:rsidDel="00000000" w:rsidP="00000000" w:rsidRDefault="00000000" w:rsidRPr="00000000" w14:paraId="0000002F">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Working knowledge of State, Federal</w:t>
      </w:r>
      <w:r w:rsidDel="00000000" w:rsidR="00000000" w:rsidRPr="00000000">
        <w:rPr>
          <w:rFonts w:ascii="Calibri" w:cs="Calibri" w:eastAsia="Calibri" w:hAnsi="Calibri"/>
          <w:sz w:val="22"/>
          <w:szCs w:val="22"/>
          <w:rtl w:val="0"/>
        </w:rPr>
        <w:t xml:space="preserv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and private capitalization programs</w:t>
      </w:r>
      <w:r w:rsidDel="00000000" w:rsidR="00000000" w:rsidRPr="00000000">
        <w:rPr>
          <w:rtl w:val="0"/>
        </w:rPr>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1">
      <w:pPr>
        <w:widowControl w:val="0"/>
        <w:rPr>
          <w:rFonts w:ascii="Cambria" w:cs="Cambria" w:eastAsia="Cambria" w:hAnsi="Cambria"/>
          <w:b w:val="1"/>
        </w:rPr>
      </w:pPr>
      <w:r w:rsidDel="00000000" w:rsidR="00000000" w:rsidRPr="00000000">
        <w:rPr>
          <w:rFonts w:ascii="Cambria" w:cs="Cambria" w:eastAsia="Cambria" w:hAnsi="Cambria"/>
          <w:b w:val="1"/>
          <w:rtl w:val="0"/>
        </w:rPr>
        <w:t xml:space="preserve">Physical Demands and Working Conditions: </w:t>
      </w:r>
    </w:p>
    <w:p w:rsidR="00000000" w:rsidDel="00000000" w:rsidP="00000000" w:rsidRDefault="00000000" w:rsidRPr="00000000" w14:paraId="00000032">
      <w:pPr>
        <w:widowControl w:val="0"/>
        <w:spacing w:after="240" w:before="240" w:lineRule="auto"/>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Fast-paced general office environment. Regular travel is necessary both within and outside the state for organizational-specific events or during employment. Requires sitting for extended periods, standing, visual acumen, manual dexterity, detailed verbal communications, and fine finger manipulation for working with computer keyboards and other typing and/or written/visual communication.</w:t>
      </w:r>
    </w:p>
    <w:p w:rsidR="00000000" w:rsidDel="00000000" w:rsidP="00000000" w:rsidRDefault="00000000" w:rsidRPr="00000000" w14:paraId="00000033">
      <w:pPr>
        <w:widowControl w:val="0"/>
        <w:spacing w:after="240" w:before="240" w:lineRule="auto"/>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 Montana driver’s license is required, with the ability to drive across the state by car. Frequent travel is required within Great Northern Development Corporation’s EMBC service area. The service area comprises 15 out of the 16 easternmost counties in Montana. Occasional travel outside the region, including overnight travel to attend meetings, workshops, and training seminars, is also required.  Must be able to stand and walk short distances, stoop and bend, and handle and lift books, papers, and office equipment up to 50 pounds. </w:t>
      </w:r>
    </w:p>
    <w:p w:rsidR="00000000" w:rsidDel="00000000" w:rsidP="00000000" w:rsidRDefault="00000000" w:rsidRPr="00000000" w14:paraId="00000034">
      <w:pPr>
        <w:ind w:left="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This position reports directly to the GNDC Executive Director. </w:t>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6">
      <w:pPr>
        <w:spacing w:after="0" w:before="240" w:lineRule="auto"/>
        <w:rPr>
          <w:rFonts w:ascii="Cambria" w:cs="Cambria" w:eastAsia="Cambria" w:hAnsi="Cambria"/>
          <w:b w:val="1"/>
        </w:rPr>
      </w:pPr>
      <w:r w:rsidDel="00000000" w:rsidR="00000000" w:rsidRPr="00000000">
        <w:rPr>
          <w:rFonts w:ascii="Cambria" w:cs="Cambria" w:eastAsia="Cambria" w:hAnsi="Cambria"/>
          <w:b w:val="1"/>
          <w:rtl w:val="0"/>
        </w:rPr>
        <w:t xml:space="preserve">Benefits that come with this position:</w:t>
      </w:r>
    </w:p>
    <w:p w:rsidR="00000000" w:rsidDel="00000000" w:rsidP="00000000" w:rsidRDefault="00000000" w:rsidRPr="00000000" w14:paraId="00000037">
      <w:pPr>
        <w:spacing w:after="240" w:before="40" w:lineRule="auto"/>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Competitive salary based on experience and qualifications.  </w:t>
      </w:r>
    </w:p>
    <w:p w:rsidR="00000000" w:rsidDel="00000000" w:rsidP="00000000" w:rsidRDefault="00000000" w:rsidRPr="00000000" w14:paraId="00000038">
      <w:pPr>
        <w:spacing w:after="0" w:before="40" w:lineRule="auto"/>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Benefits package includes</w:t>
      </w:r>
    </w:p>
    <w:p w:rsidR="00000000" w:rsidDel="00000000" w:rsidP="00000000" w:rsidRDefault="00000000" w:rsidRPr="00000000" w14:paraId="00000039">
      <w:pPr>
        <w:numPr>
          <w:ilvl w:val="0"/>
          <w:numId w:val="4"/>
        </w:numPr>
        <w:spacing w:after="0" w:afterAutospacing="0" w:before="40" w:lineRule="auto"/>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100% employer-paid health insurance for employees; dental and vision (employee paid)</w:t>
      </w:r>
    </w:p>
    <w:p w:rsidR="00000000" w:rsidDel="00000000" w:rsidP="00000000" w:rsidRDefault="00000000" w:rsidRPr="00000000" w14:paraId="0000003A">
      <w:pPr>
        <w:numPr>
          <w:ilvl w:val="0"/>
          <w:numId w:val="4"/>
        </w:numPr>
        <w:spacing w:after="0" w:afterAutospacing="0" w:before="0" w:beforeAutospacing="0" w:lineRule="auto"/>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Employer contribution to a retirement savings program</w:t>
      </w:r>
      <w:r w:rsidDel="00000000" w:rsidR="00000000" w:rsidRPr="00000000">
        <w:rPr>
          <w:rtl w:val="0"/>
        </w:rPr>
      </w:r>
    </w:p>
    <w:p w:rsidR="00000000" w:rsidDel="00000000" w:rsidP="00000000" w:rsidRDefault="00000000" w:rsidRPr="00000000" w14:paraId="0000003B">
      <w:pPr>
        <w:numPr>
          <w:ilvl w:val="0"/>
          <w:numId w:val="4"/>
        </w:numPr>
        <w:spacing w:after="0" w:afterAutospacing="0" w:before="0" w:beforeAutospacing="0" w:lineRule="auto"/>
        <w:ind w:left="720" w:hanging="360"/>
        <w:rPr>
          <w:rFonts w:ascii="Calibri" w:cs="Calibri" w:eastAsia="Calibri" w:hAnsi="Calibri"/>
          <w:sz w:val="22"/>
          <w:szCs w:val="22"/>
          <w:u w:val="none"/>
        </w:rPr>
      </w:pPr>
      <w:r w:rsidDel="00000000" w:rsidR="00000000" w:rsidRPr="00000000">
        <w:rPr>
          <w:rFonts w:ascii="Calibri" w:cs="Calibri" w:eastAsia="Calibri" w:hAnsi="Calibri"/>
          <w:sz w:val="22"/>
          <w:szCs w:val="22"/>
          <w:rtl w:val="0"/>
        </w:rPr>
        <w:t xml:space="preserve">Sick leave, paid holidays, and vacation. </w:t>
      </w:r>
    </w:p>
    <w:p w:rsidR="00000000" w:rsidDel="00000000" w:rsidP="00000000" w:rsidRDefault="00000000" w:rsidRPr="00000000" w14:paraId="0000003C">
      <w:pPr>
        <w:numPr>
          <w:ilvl w:val="0"/>
          <w:numId w:val="4"/>
        </w:numPr>
        <w:ind w:left="72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Flexible work schedule: the employee is not required to be in Wolf Point GNDC office daily; telework is available upon the Executive Director's approval.</w:t>
      </w:r>
    </w:p>
    <w:p w:rsidR="00000000" w:rsidDel="00000000" w:rsidP="00000000" w:rsidRDefault="00000000" w:rsidRPr="00000000" w14:paraId="0000003D">
      <w:pPr>
        <w:spacing w:before="40" w:lineRule="auto"/>
        <w:ind w:left="144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3E">
      <w:pPr>
        <w:rPr>
          <w:rFonts w:ascii="Cambria" w:cs="Cambria" w:eastAsia="Cambria" w:hAnsi="Cambria"/>
          <w:b w:val="1"/>
        </w:rPr>
      </w:pPr>
      <w:r w:rsidDel="00000000" w:rsidR="00000000" w:rsidRPr="00000000">
        <w:rPr>
          <w:rFonts w:ascii="Cambria" w:cs="Cambria" w:eastAsia="Cambria" w:hAnsi="Cambria"/>
          <w:b w:val="1"/>
          <w:rtl w:val="0"/>
        </w:rPr>
        <w:t xml:space="preserve">How to Apply</w:t>
      </w:r>
    </w:p>
    <w:p w:rsidR="00000000" w:rsidDel="00000000" w:rsidP="00000000" w:rsidRDefault="00000000" w:rsidRPr="00000000" w14:paraId="0000003F">
      <w:pP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sz w:val="22"/>
          <w:szCs w:val="22"/>
          <w:rtl w:val="0"/>
        </w:rPr>
        <w:t xml:space="preserve">Submit a cover letter, resume, three professional references and optional letters of recommendation to the address below or email to</w:t>
      </w:r>
      <w:r w:rsidDel="00000000" w:rsidR="00000000" w:rsidRPr="00000000">
        <w:rPr>
          <w:rFonts w:ascii="Calibri" w:cs="Calibri" w:eastAsia="Calibri" w:hAnsi="Calibri"/>
          <w:color w:val="0000ff"/>
          <w:sz w:val="22"/>
          <w:szCs w:val="22"/>
          <w:rtl w:val="0"/>
        </w:rPr>
        <w:t xml:space="preserve"> </w:t>
      </w:r>
      <w:hyperlink r:id="rId12">
        <w:r w:rsidDel="00000000" w:rsidR="00000000" w:rsidRPr="00000000">
          <w:rPr>
            <w:rFonts w:ascii="Calibri" w:cs="Calibri" w:eastAsia="Calibri" w:hAnsi="Calibri"/>
            <w:color w:val="1155cc"/>
            <w:sz w:val="22"/>
            <w:szCs w:val="22"/>
            <w:u w:val="single"/>
            <w:rtl w:val="0"/>
          </w:rPr>
          <w:t xml:space="preserve">tmatejovsky@gndc.org</w:t>
        </w:r>
      </w:hyperlink>
      <w:r w:rsidDel="00000000" w:rsidR="00000000" w:rsidRPr="00000000">
        <w:rPr>
          <w:rFonts w:ascii="Calibri" w:cs="Calibri" w:eastAsia="Calibri" w:hAnsi="Calibri"/>
          <w:sz w:val="22"/>
          <w:szCs w:val="22"/>
          <w:rtl w:val="0"/>
        </w:rPr>
        <w:t xml:space="preserve"> </w:t>
      </w:r>
      <w:r w:rsidDel="00000000" w:rsidR="00000000" w:rsidRPr="00000000">
        <w:rPr>
          <w:rtl w:val="0"/>
        </w:rPr>
      </w:r>
    </w:p>
    <w:p w:rsidR="00000000" w:rsidDel="00000000" w:rsidP="00000000" w:rsidRDefault="00000000" w:rsidRPr="00000000" w14:paraId="00000040">
      <w:pPr>
        <w:widowControl w:val="0"/>
        <w:rPr>
          <w:rFonts w:ascii="Cambria" w:cs="Cambria" w:eastAsia="Cambria" w:hAnsi="Cambria"/>
          <w:b w:val="1"/>
        </w:rPr>
      </w:pPr>
      <w:r w:rsidDel="00000000" w:rsidR="00000000" w:rsidRPr="00000000">
        <w:rPr>
          <w:rtl w:val="0"/>
        </w:rPr>
      </w:r>
    </w:p>
    <w:p w:rsidR="00000000" w:rsidDel="00000000" w:rsidP="00000000" w:rsidRDefault="00000000" w:rsidRPr="00000000" w14:paraId="00000041">
      <w:pPr>
        <w:widowControl w:val="0"/>
        <w:rPr>
          <w:rFonts w:ascii="Cambria" w:cs="Cambria" w:eastAsia="Cambria" w:hAnsi="Cambria"/>
          <w:b w:val="1"/>
        </w:rPr>
      </w:pPr>
      <w:r w:rsidDel="00000000" w:rsidR="00000000" w:rsidRPr="00000000">
        <w:rPr>
          <w:rFonts w:ascii="Cambria" w:cs="Cambria" w:eastAsia="Cambria" w:hAnsi="Cambria"/>
          <w:b w:val="1"/>
          <w:rtl w:val="0"/>
        </w:rPr>
        <w:t xml:space="preserve">Position Open Until Filled</w:t>
      </w:r>
    </w:p>
    <w:p w:rsidR="00000000" w:rsidDel="00000000" w:rsidP="00000000" w:rsidRDefault="00000000" w:rsidRPr="00000000" w14:paraId="00000042">
      <w:pPr>
        <w:widowControl w:val="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43">
      <w:pPr>
        <w:widowControl w:val="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Contact:</w:t>
      </w:r>
    </w:p>
    <w:p w:rsidR="00000000" w:rsidDel="00000000" w:rsidP="00000000" w:rsidRDefault="00000000" w:rsidRPr="00000000" w14:paraId="00000044">
      <w:pPr>
        <w:widowControl w:val="0"/>
        <w:ind w:firstLine="72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Tori Matejovsky, Executive Director</w:t>
      </w:r>
    </w:p>
    <w:p w:rsidR="00000000" w:rsidDel="00000000" w:rsidP="00000000" w:rsidRDefault="00000000" w:rsidRPr="00000000" w14:paraId="00000045">
      <w:pPr>
        <w:widowControl w:val="0"/>
        <w:ind w:left="72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Great Northern Development Corporation</w:t>
      </w:r>
    </w:p>
    <w:p w:rsidR="00000000" w:rsidDel="00000000" w:rsidP="00000000" w:rsidRDefault="00000000" w:rsidRPr="00000000" w14:paraId="00000046">
      <w:pPr>
        <w:widowControl w:val="0"/>
        <w:ind w:left="72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233 Cascade Street</w:t>
      </w:r>
    </w:p>
    <w:p w:rsidR="00000000" w:rsidDel="00000000" w:rsidP="00000000" w:rsidRDefault="00000000" w:rsidRPr="00000000" w14:paraId="00000047">
      <w:pPr>
        <w:widowControl w:val="0"/>
        <w:ind w:left="72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Wolf Point, MT 59201</w:t>
      </w:r>
    </w:p>
    <w:p w:rsidR="00000000" w:rsidDel="00000000" w:rsidP="00000000" w:rsidRDefault="00000000" w:rsidRPr="00000000" w14:paraId="00000048">
      <w:pPr>
        <w:widowControl w:val="0"/>
        <w:ind w:left="72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(406) 653-2590 ext. 206</w:t>
      </w:r>
    </w:p>
    <w:p w:rsidR="00000000" w:rsidDel="00000000" w:rsidP="00000000" w:rsidRDefault="00000000" w:rsidRPr="00000000" w14:paraId="00000049">
      <w:pPr>
        <w:widowControl w:val="0"/>
        <w:ind w:left="720" w:firstLine="0"/>
        <w:rPr>
          <w:rFonts w:ascii="Calibri" w:cs="Calibri" w:eastAsia="Calibri" w:hAnsi="Calibri"/>
          <w:sz w:val="22"/>
          <w:szCs w:val="22"/>
        </w:rPr>
      </w:pPr>
      <w:hyperlink r:id="rId13">
        <w:r w:rsidDel="00000000" w:rsidR="00000000" w:rsidRPr="00000000">
          <w:rPr>
            <w:rFonts w:ascii="Calibri" w:cs="Calibri" w:eastAsia="Calibri" w:hAnsi="Calibri"/>
            <w:color w:val="1155cc"/>
            <w:sz w:val="22"/>
            <w:szCs w:val="22"/>
            <w:u w:val="single"/>
            <w:rtl w:val="0"/>
          </w:rPr>
          <w:t xml:space="preserve">tmatejovsky@gndc.org</w:t>
        </w:r>
      </w:hyperlink>
      <w:r w:rsidDel="00000000" w:rsidR="00000000" w:rsidRPr="00000000">
        <w:rPr>
          <w:rFonts w:ascii="Calibri" w:cs="Calibri" w:eastAsia="Calibri" w:hAnsi="Calibri"/>
          <w:sz w:val="22"/>
          <w:szCs w:val="22"/>
          <w:rtl w:val="0"/>
        </w:rPr>
        <w:t xml:space="preserve"> </w:t>
      </w:r>
      <w:r w:rsidDel="00000000" w:rsidR="00000000" w:rsidRPr="00000000">
        <w:rPr>
          <w:rtl w:val="0"/>
        </w:rPr>
      </w:r>
    </w:p>
    <w:p w:rsidR="00000000" w:rsidDel="00000000" w:rsidP="00000000" w:rsidRDefault="00000000" w:rsidRPr="00000000" w14:paraId="0000004A">
      <w:pPr>
        <w:widowControl w:val="0"/>
        <w:ind w:left="720" w:firstLine="0"/>
        <w:rPr>
          <w:rFonts w:ascii="Calibri" w:cs="Calibri" w:eastAsia="Calibri" w:hAnsi="Calibri"/>
          <w:sz w:val="22"/>
          <w:szCs w:val="22"/>
        </w:rPr>
      </w:pPr>
      <w:hyperlink r:id="rId14">
        <w:r w:rsidDel="00000000" w:rsidR="00000000" w:rsidRPr="00000000">
          <w:rPr>
            <w:rFonts w:ascii="Calibri" w:cs="Calibri" w:eastAsia="Calibri" w:hAnsi="Calibri"/>
            <w:color w:val="0000ff"/>
            <w:sz w:val="22"/>
            <w:szCs w:val="22"/>
            <w:u w:val="single"/>
            <w:rtl w:val="0"/>
          </w:rPr>
          <w:t xml:space="preserve">www.gndc.org</w:t>
        </w:r>
      </w:hyperlink>
      <w:r w:rsidDel="00000000" w:rsidR="00000000" w:rsidRPr="00000000">
        <w:rPr>
          <w:rFonts w:ascii="Calibri" w:cs="Calibri" w:eastAsia="Calibri" w:hAnsi="Calibri"/>
          <w:sz w:val="22"/>
          <w:szCs w:val="22"/>
          <w:rtl w:val="0"/>
        </w:rPr>
        <w:t xml:space="preserve"> </w:t>
        <w:tab/>
        <w:tab/>
        <w:tab/>
        <w:tab/>
        <w:tab/>
        <w:tab/>
        <w:tab/>
        <w:tab/>
        <w:tab/>
        <w:tab/>
        <w:tab/>
      </w:r>
    </w:p>
    <w:p w:rsidR="00000000" w:rsidDel="00000000" w:rsidP="00000000" w:rsidRDefault="00000000" w:rsidRPr="00000000" w14:paraId="0000004B">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4C">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4D">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4E">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4F">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0">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1">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2">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3">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4">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5">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6">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7">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8">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9">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A">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B">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C">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D">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E">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5F">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60">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61">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62">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63">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64">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65">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66">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67">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68">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69">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6A">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6B">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6C">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6D">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6E">
      <w:pPr>
        <w:widowControl w:val="0"/>
        <w:ind w:left="72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6F">
      <w:pPr>
        <w:widowControl w:val="0"/>
        <w:ind w:left="720" w:firstLine="0"/>
        <w:jc w:val="right"/>
        <w:rPr/>
      </w:pPr>
      <w:r w:rsidDel="00000000" w:rsidR="00000000" w:rsidRPr="00000000">
        <w:rPr>
          <w:rFonts w:ascii="Calibri" w:cs="Calibri" w:eastAsia="Calibri" w:hAnsi="Calibri"/>
          <w:sz w:val="22"/>
          <w:szCs w:val="22"/>
          <w:rtl w:val="0"/>
        </w:rPr>
        <w:t xml:space="preserve">as of 8/10/23</w:t>
      </w:r>
      <w:r w:rsidDel="00000000" w:rsidR="00000000" w:rsidRPr="00000000">
        <w:rPr>
          <w:rtl w:val="0"/>
        </w:rPr>
      </w:r>
    </w:p>
    <w:sectPr>
      <w:footerReference r:id="rId15" w:type="default"/>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mbria"/>
  <w:font w:name="Calibri"/>
  <w:font w:name="Times New Roman"/>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Calibri" w:cs="Calibri" w:eastAsia="Calibri" w:hAnsi="Calibri"/>
        <w:b w:val="0"/>
        <w:i w:val="0"/>
        <w:smallCaps w:val="0"/>
        <w:strike w:val="0"/>
        <w:color w:val="502800"/>
        <w:sz w:val="14"/>
        <w:szCs w:val="14"/>
        <w:u w:val="none"/>
        <w:shd w:fill="auto" w:val="clear"/>
        <w:vertAlign w:val="baseline"/>
      </w:rPr>
    </w:pPr>
    <w:r w:rsidDel="00000000" w:rsidR="00000000" w:rsidRPr="00000000">
      <w:rPr>
        <w:rFonts w:ascii="Calibri" w:cs="Calibri" w:eastAsia="Calibri" w:hAnsi="Calibri"/>
        <w:b w:val="0"/>
        <w:i w:val="0"/>
        <w:smallCaps w:val="0"/>
        <w:strike w:val="0"/>
        <w:color w:val="502800"/>
        <w:sz w:val="14"/>
        <w:szCs w:val="14"/>
        <w:u w:val="none"/>
        <w:shd w:fill="auto" w:val="clear"/>
        <w:vertAlign w:val="baseline"/>
        <w:rtl w:val="0"/>
      </w:rPr>
      <w:t xml:space="preserve">“GNDC is an equal opportunity provider, employer and lender.” To file a complaint of discrimination write to:</w:t>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502800"/>
        <w:sz w:val="14"/>
        <w:szCs w:val="14"/>
        <w:u w:val="none"/>
        <w:shd w:fill="auto" w:val="clear"/>
        <w:vertAlign w:val="baseline"/>
        <w:rtl w:val="0"/>
      </w:rPr>
      <w:t xml:space="preserve">Tori Matejovsky, Executive Director, 233 Cascade Street, Wolf Point, MT 59201, or call (800)795-3272 or (TDD) Montana Relay 7-1-1 or (800) 253-4091</w:t>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1440" w:hanging="360"/>
      </w:pPr>
      <w:rPr>
        <w:rFonts w:ascii="Noto Sans Symbols" w:cs="Noto Sans Symbols" w:eastAsia="Noto Sans Symbols" w:hAnsi="Noto Sans Symbols"/>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image" Target="media/image3.png"/><Relationship Id="rId10" Type="http://schemas.openxmlformats.org/officeDocument/2006/relationships/image" Target="media/image2.png"/><Relationship Id="rId13" Type="http://schemas.openxmlformats.org/officeDocument/2006/relationships/hyperlink" Target="mailto:tmatejovsky@gndc.org" TargetMode="External"/><Relationship Id="rId12" Type="http://schemas.openxmlformats.org/officeDocument/2006/relationships/hyperlink" Target="mailto:tmatejovsky@gndc.org"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png"/><Relationship Id="rId15" Type="http://schemas.openxmlformats.org/officeDocument/2006/relationships/footer" Target="footer1.xml"/><Relationship Id="rId14" Type="http://schemas.openxmlformats.org/officeDocument/2006/relationships/hyperlink" Target="http://www.gndc.org" TargetMode="External"/><Relationship Id="rId5" Type="http://schemas.openxmlformats.org/officeDocument/2006/relationships/styles" Target="styles.xml"/><Relationship Id="rId6" Type="http://schemas.openxmlformats.org/officeDocument/2006/relationships/image" Target="media/image4.png"/><Relationship Id="rId7" Type="http://schemas.openxmlformats.org/officeDocument/2006/relationships/image" Target="media/image5.png"/><Relationship Id="rId8" Type="http://schemas.openxmlformats.org/officeDocument/2006/relationships/image" Target="media/image6.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